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6D23D9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CDR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D23D9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D23D9" w:rsidRPr="006D23D9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6D23D9" w:rsidRPr="006D23D9">
        <w:rPr>
          <w:rFonts w:ascii="Arial" w:hAnsi="Arial" w:cs="Arial"/>
          <w:sz w:val="20"/>
          <w:szCs w:val="20"/>
        </w:rPr>
        <w:t>Nai</w:t>
      </w:r>
      <w:proofErr w:type="spellEnd"/>
      <w:r w:rsidR="006D23D9" w:rsidRPr="006D23D9">
        <w:rPr>
          <w:rFonts w:ascii="Arial" w:hAnsi="Arial" w:cs="Arial"/>
          <w:sz w:val="20"/>
          <w:szCs w:val="20"/>
        </w:rPr>
        <w:t xml:space="preserve"> Rubber Construction Joint Stock Company</w:t>
      </w:r>
      <w:r w:rsidR="006D23D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Manufacturing: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</w:t>
      </w:r>
      <w:r w:rsidRPr="006D23D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report on</w:t>
      </w:r>
      <w:r w:rsidRPr="006D23D9">
        <w:rPr>
          <w:rFonts w:ascii="Arial" w:hAnsi="Arial" w:cs="Arial"/>
          <w:sz w:val="20"/>
          <w:szCs w:val="20"/>
        </w:rPr>
        <w:t xml:space="preserve"> the major </w:t>
      </w:r>
      <w:r>
        <w:rPr>
          <w:rFonts w:ascii="Arial" w:hAnsi="Arial" w:cs="Arial"/>
          <w:sz w:val="20"/>
          <w:szCs w:val="20"/>
        </w:rPr>
        <w:t>indicators</w:t>
      </w:r>
      <w:r w:rsidRPr="006D23D9">
        <w:rPr>
          <w:rFonts w:ascii="Arial" w:hAnsi="Arial" w:cs="Arial"/>
          <w:sz w:val="20"/>
          <w:szCs w:val="20"/>
        </w:rPr>
        <w:t xml:space="preserve"> made in 2019 as follows: 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 xml:space="preserve">- Sales of goods and services: </w:t>
      </w:r>
      <w:r w:rsidRPr="006D23D9">
        <w:rPr>
          <w:rFonts w:ascii="Arial" w:hAnsi="Arial" w:cs="Arial"/>
          <w:sz w:val="20"/>
          <w:szCs w:val="20"/>
        </w:rPr>
        <w:t>VND</w:t>
      </w:r>
      <w:r w:rsidRPr="006D23D9">
        <w:rPr>
          <w:rFonts w:ascii="Arial" w:hAnsi="Arial" w:cs="Arial"/>
          <w:sz w:val="20"/>
          <w:szCs w:val="20"/>
        </w:rPr>
        <w:t xml:space="preserve"> 194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248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362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109</w:t>
      </w:r>
      <w:r>
        <w:rPr>
          <w:rFonts w:ascii="Arial" w:hAnsi="Arial" w:cs="Arial"/>
          <w:sz w:val="20"/>
          <w:szCs w:val="20"/>
        </w:rPr>
        <w:t xml:space="preserve"> (reaching 100% of the plan)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D23D9">
        <w:rPr>
          <w:rFonts w:ascii="Arial" w:hAnsi="Arial" w:cs="Arial"/>
          <w:sz w:val="20"/>
          <w:szCs w:val="20"/>
        </w:rPr>
        <w:t xml:space="preserve"> Consolidated total profit after tax: </w:t>
      </w:r>
      <w:r>
        <w:rPr>
          <w:rFonts w:ascii="Arial" w:hAnsi="Arial" w:cs="Arial"/>
          <w:sz w:val="20"/>
          <w:szCs w:val="20"/>
        </w:rPr>
        <w:t xml:space="preserve">VND </w:t>
      </w:r>
      <w:r w:rsidRPr="006D23D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277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702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 xml:space="preserve">615 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>- Dividend</w:t>
      </w:r>
      <w:r>
        <w:rPr>
          <w:rFonts w:ascii="Arial" w:hAnsi="Arial" w:cs="Arial"/>
          <w:sz w:val="20"/>
          <w:szCs w:val="20"/>
        </w:rPr>
        <w:t xml:space="preserve"> payment rate:</w:t>
      </w:r>
      <w:r w:rsidRPr="006D23D9">
        <w:rPr>
          <w:rFonts w:ascii="Arial" w:hAnsi="Arial" w:cs="Arial"/>
          <w:sz w:val="20"/>
          <w:szCs w:val="20"/>
        </w:rPr>
        <w:t xml:space="preserve"> 8% 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Pr="006D23D9">
        <w:rPr>
          <w:rFonts w:ascii="Arial" w:hAnsi="Arial" w:cs="Arial"/>
          <w:sz w:val="20"/>
          <w:szCs w:val="20"/>
        </w:rPr>
        <w:t xml:space="preserve">/ Labor wage: 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Total number of employees at present</w:t>
      </w:r>
      <w:r w:rsidRPr="006D23D9">
        <w:rPr>
          <w:rFonts w:ascii="Arial" w:hAnsi="Arial" w:cs="Arial"/>
          <w:sz w:val="20"/>
          <w:szCs w:val="20"/>
        </w:rPr>
        <w:t xml:space="preserve">: 84 people (including 2 Subsidiaries) 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 xml:space="preserve">- Average income: </w:t>
      </w:r>
      <w:r w:rsidRPr="006D23D9">
        <w:rPr>
          <w:rFonts w:ascii="Arial" w:hAnsi="Arial" w:cs="Arial"/>
          <w:sz w:val="20"/>
          <w:szCs w:val="20"/>
        </w:rPr>
        <w:t>VND</w:t>
      </w:r>
      <w:r w:rsidRPr="006D23D9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>,</w:t>
      </w:r>
      <w:r w:rsidR="0044222D">
        <w:rPr>
          <w:rFonts w:ascii="Arial" w:hAnsi="Arial" w:cs="Arial"/>
          <w:sz w:val="20"/>
          <w:szCs w:val="20"/>
        </w:rPr>
        <w:t>000/</w:t>
      </w:r>
      <w:r>
        <w:rPr>
          <w:rFonts w:ascii="Arial" w:hAnsi="Arial" w:cs="Arial"/>
          <w:sz w:val="20"/>
          <w:szCs w:val="20"/>
        </w:rPr>
        <w:t>person</w:t>
      </w:r>
      <w:r w:rsidR="0044222D">
        <w:rPr>
          <w:rFonts w:ascii="Arial" w:hAnsi="Arial" w:cs="Arial"/>
          <w:sz w:val="20"/>
          <w:szCs w:val="20"/>
        </w:rPr>
        <w:t>/</w:t>
      </w:r>
      <w:r w:rsidRPr="006D23D9">
        <w:rPr>
          <w:rFonts w:ascii="Arial" w:hAnsi="Arial" w:cs="Arial"/>
          <w:sz w:val="20"/>
          <w:szCs w:val="20"/>
        </w:rPr>
        <w:t xml:space="preserve">month 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III/ Targets for</w:t>
      </w:r>
      <w:r w:rsidRPr="006D23D9">
        <w:rPr>
          <w:rFonts w:ascii="Arial" w:hAnsi="Arial" w:cs="Arial"/>
          <w:sz w:val="20"/>
          <w:szCs w:val="20"/>
        </w:rPr>
        <w:t xml:space="preserve"> implementation in 2020: 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 xml:space="preserve">- Striving to implement the 2020 plan: </w:t>
      </w:r>
      <w:r w:rsidRPr="006D23D9">
        <w:rPr>
          <w:rFonts w:ascii="Arial" w:hAnsi="Arial" w:cs="Arial"/>
          <w:sz w:val="20"/>
          <w:szCs w:val="20"/>
        </w:rPr>
        <w:t>VND</w:t>
      </w:r>
      <w:r w:rsidRPr="006D23D9">
        <w:rPr>
          <w:rFonts w:ascii="Arial" w:hAnsi="Arial" w:cs="Arial"/>
          <w:sz w:val="20"/>
          <w:szCs w:val="20"/>
        </w:rPr>
        <w:t xml:space="preserve"> 162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000 (</w:t>
      </w:r>
      <w:r>
        <w:rPr>
          <w:rFonts w:ascii="Arial" w:hAnsi="Arial" w:cs="Arial"/>
          <w:sz w:val="20"/>
          <w:szCs w:val="20"/>
        </w:rPr>
        <w:t>equivalent to</w:t>
      </w:r>
      <w:r w:rsidRPr="006D23D9">
        <w:rPr>
          <w:rFonts w:ascii="Arial" w:hAnsi="Arial" w:cs="Arial"/>
          <w:sz w:val="20"/>
          <w:szCs w:val="20"/>
        </w:rPr>
        <w:t xml:space="preserve"> 84% </w:t>
      </w:r>
      <w:r>
        <w:rPr>
          <w:rFonts w:ascii="Arial" w:hAnsi="Arial" w:cs="Arial"/>
          <w:sz w:val="20"/>
          <w:szCs w:val="20"/>
        </w:rPr>
        <w:t xml:space="preserve">of realization </w:t>
      </w:r>
      <w:r w:rsidRPr="006D23D9">
        <w:rPr>
          <w:rFonts w:ascii="Arial" w:hAnsi="Arial" w:cs="Arial"/>
          <w:sz w:val="20"/>
          <w:szCs w:val="20"/>
        </w:rPr>
        <w:t>in 2019)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 xml:space="preserve">- Total consolidated profit after tax: </w:t>
      </w:r>
      <w:r>
        <w:rPr>
          <w:rFonts w:ascii="Arial" w:hAnsi="Arial" w:cs="Arial"/>
          <w:sz w:val="20"/>
          <w:szCs w:val="20"/>
        </w:rPr>
        <w:t xml:space="preserve">VND </w:t>
      </w:r>
      <w:r w:rsidRPr="006D23D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286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375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 xml:space="preserve">986 </w:t>
      </w:r>
      <w:bookmarkStart w:id="0" w:name="_GoBack"/>
      <w:bookmarkEnd w:id="0"/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 xml:space="preserve">- Dividend </w:t>
      </w:r>
      <w:r>
        <w:rPr>
          <w:rFonts w:ascii="Arial" w:hAnsi="Arial" w:cs="Arial"/>
          <w:sz w:val="20"/>
          <w:szCs w:val="20"/>
        </w:rPr>
        <w:t>payment rate: 6.</w:t>
      </w:r>
      <w:r w:rsidRPr="006D23D9">
        <w:rPr>
          <w:rFonts w:ascii="Arial" w:hAnsi="Arial" w:cs="Arial"/>
          <w:sz w:val="20"/>
          <w:szCs w:val="20"/>
        </w:rPr>
        <w:t xml:space="preserve">5% 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 xml:space="preserve">- Average income: over </w:t>
      </w:r>
      <w:r w:rsidRPr="006D23D9">
        <w:rPr>
          <w:rFonts w:ascii="Arial" w:hAnsi="Arial" w:cs="Arial"/>
          <w:sz w:val="20"/>
          <w:szCs w:val="20"/>
        </w:rPr>
        <w:t xml:space="preserve">VND </w:t>
      </w:r>
      <w:r w:rsidRPr="006D23D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Pr="006D23D9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>,</w:t>
      </w:r>
      <w:r w:rsidR="0044222D">
        <w:rPr>
          <w:rFonts w:ascii="Arial" w:hAnsi="Arial" w:cs="Arial"/>
          <w:sz w:val="20"/>
          <w:szCs w:val="20"/>
        </w:rPr>
        <w:t>000/</w:t>
      </w:r>
      <w:r>
        <w:rPr>
          <w:rFonts w:ascii="Arial" w:hAnsi="Arial" w:cs="Arial"/>
          <w:sz w:val="20"/>
          <w:szCs w:val="20"/>
        </w:rPr>
        <w:t>person</w:t>
      </w:r>
      <w:r w:rsidR="0044222D">
        <w:rPr>
          <w:rFonts w:ascii="Arial" w:hAnsi="Arial" w:cs="Arial"/>
          <w:sz w:val="20"/>
          <w:szCs w:val="20"/>
        </w:rPr>
        <w:t>/</w:t>
      </w:r>
      <w:r w:rsidRPr="006D23D9">
        <w:rPr>
          <w:rFonts w:ascii="Arial" w:hAnsi="Arial" w:cs="Arial"/>
          <w:sz w:val="20"/>
          <w:szCs w:val="20"/>
        </w:rPr>
        <w:t xml:space="preserve">month 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 w:rsidRPr="006D23D9">
        <w:rPr>
          <w:rFonts w:ascii="Arial" w:hAnsi="Arial" w:cs="Arial"/>
          <w:sz w:val="20"/>
          <w:szCs w:val="20"/>
        </w:rPr>
        <w:t xml:space="preserve">/ Some other contents: 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 xml:space="preserve">- The Board of Directors agreed to dismiss Mr. Hoang </w:t>
      </w:r>
      <w:proofErr w:type="spellStart"/>
      <w:r w:rsidRPr="006D23D9">
        <w:rPr>
          <w:rFonts w:ascii="Arial" w:hAnsi="Arial" w:cs="Arial"/>
          <w:sz w:val="20"/>
          <w:szCs w:val="20"/>
        </w:rPr>
        <w:t>Trong</w:t>
      </w:r>
      <w:proofErr w:type="spellEnd"/>
      <w:r w:rsidRPr="006D23D9">
        <w:rPr>
          <w:rFonts w:ascii="Arial" w:hAnsi="Arial" w:cs="Arial"/>
          <w:sz w:val="20"/>
          <w:szCs w:val="20"/>
        </w:rPr>
        <w:t xml:space="preserve"> Viet Hung</w:t>
      </w:r>
      <w:r>
        <w:rPr>
          <w:rFonts w:ascii="Arial" w:hAnsi="Arial" w:cs="Arial"/>
          <w:sz w:val="20"/>
          <w:szCs w:val="20"/>
        </w:rPr>
        <w:t xml:space="preserve"> from</w:t>
      </w:r>
      <w:r w:rsidRPr="006D23D9">
        <w:rPr>
          <w:rFonts w:ascii="Arial" w:hAnsi="Arial" w:cs="Arial"/>
          <w:sz w:val="20"/>
          <w:szCs w:val="20"/>
        </w:rPr>
        <w:t xml:space="preserve"> </w:t>
      </w:r>
      <w:r w:rsidRPr="006D23D9">
        <w:rPr>
          <w:rFonts w:ascii="Arial" w:hAnsi="Arial" w:cs="Arial"/>
          <w:sz w:val="20"/>
          <w:szCs w:val="20"/>
        </w:rPr>
        <w:t xml:space="preserve">the position of </w:t>
      </w:r>
      <w:r w:rsidRPr="006D23D9">
        <w:rPr>
          <w:rFonts w:ascii="Arial" w:hAnsi="Arial" w:cs="Arial"/>
          <w:sz w:val="20"/>
          <w:szCs w:val="20"/>
        </w:rPr>
        <w:t xml:space="preserve">Deputy Director of Dong </w:t>
      </w:r>
      <w:proofErr w:type="spellStart"/>
      <w:r w:rsidRPr="006D23D9">
        <w:rPr>
          <w:rFonts w:ascii="Arial" w:hAnsi="Arial" w:cs="Arial"/>
          <w:sz w:val="20"/>
          <w:szCs w:val="20"/>
        </w:rPr>
        <w:t>Nai</w:t>
      </w:r>
      <w:proofErr w:type="spellEnd"/>
      <w:r w:rsidRPr="006D23D9">
        <w:rPr>
          <w:rFonts w:ascii="Arial" w:hAnsi="Arial" w:cs="Arial"/>
          <w:sz w:val="20"/>
          <w:szCs w:val="20"/>
        </w:rPr>
        <w:t xml:space="preserve"> Rubber Construction Joint Stock Company for </w:t>
      </w:r>
      <w:r>
        <w:rPr>
          <w:rFonts w:ascii="Arial" w:hAnsi="Arial" w:cs="Arial"/>
          <w:sz w:val="20"/>
          <w:szCs w:val="20"/>
        </w:rPr>
        <w:t xml:space="preserve">health </w:t>
      </w:r>
      <w:r w:rsidRPr="006D23D9">
        <w:rPr>
          <w:rFonts w:ascii="Arial" w:hAnsi="Arial" w:cs="Arial"/>
          <w:sz w:val="20"/>
          <w:szCs w:val="20"/>
        </w:rPr>
        <w:t xml:space="preserve">reasons  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>- The Board of Directors agreed to authorize the</w:t>
      </w:r>
      <w:r>
        <w:rPr>
          <w:rFonts w:ascii="Arial" w:hAnsi="Arial" w:cs="Arial"/>
          <w:sz w:val="20"/>
          <w:szCs w:val="20"/>
        </w:rPr>
        <w:t xml:space="preserve"> Board of Directors to decide </w:t>
      </w:r>
      <w:r w:rsidRPr="006D23D9">
        <w:rPr>
          <w:rFonts w:ascii="Arial" w:hAnsi="Arial" w:cs="Arial"/>
          <w:sz w:val="20"/>
          <w:szCs w:val="20"/>
        </w:rPr>
        <w:t xml:space="preserve">selection of an independent consultancy unit in the list of units eligible for audit consultancy of the Ministry of Finance </w:t>
      </w:r>
      <w:r>
        <w:rPr>
          <w:rFonts w:ascii="Arial" w:hAnsi="Arial" w:cs="Arial"/>
          <w:sz w:val="20"/>
          <w:szCs w:val="20"/>
        </w:rPr>
        <w:t>to audit the financial statement of 2020 of the Company to submit</w:t>
      </w:r>
      <w:r w:rsidRPr="006D23D9">
        <w:rPr>
          <w:rFonts w:ascii="Arial" w:hAnsi="Arial" w:cs="Arial"/>
          <w:sz w:val="20"/>
          <w:szCs w:val="20"/>
        </w:rPr>
        <w:t xml:space="preserve"> the General Meeting of Shareholders</w:t>
      </w:r>
    </w:p>
    <w:p w:rsidR="0044222D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>- The Board of Directors agreed to allow the Chairman of the Board to select the date of</w:t>
      </w:r>
      <w:r w:rsidR="0044222D">
        <w:rPr>
          <w:rFonts w:ascii="Arial" w:hAnsi="Arial" w:cs="Arial"/>
          <w:sz w:val="20"/>
          <w:szCs w:val="20"/>
        </w:rPr>
        <w:t xml:space="preserve"> holding</w:t>
      </w:r>
      <w:r w:rsidRPr="006D23D9">
        <w:rPr>
          <w:rFonts w:ascii="Arial" w:hAnsi="Arial" w:cs="Arial"/>
          <w:sz w:val="20"/>
          <w:szCs w:val="20"/>
        </w:rPr>
        <w:t xml:space="preserve"> the General Me</w:t>
      </w:r>
      <w:r w:rsidR="0044222D">
        <w:rPr>
          <w:rFonts w:ascii="Arial" w:hAnsi="Arial" w:cs="Arial"/>
          <w:sz w:val="20"/>
          <w:szCs w:val="20"/>
        </w:rPr>
        <w:t>eting of Shareholders in 2020 at a convenient time</w:t>
      </w:r>
    </w:p>
    <w:p w:rsidR="006D23D9" w:rsidRDefault="006D23D9" w:rsidP="00F903A5">
      <w:pPr>
        <w:jc w:val="both"/>
        <w:rPr>
          <w:rFonts w:ascii="Arial" w:hAnsi="Arial" w:cs="Arial"/>
          <w:sz w:val="20"/>
          <w:szCs w:val="20"/>
        </w:rPr>
      </w:pPr>
      <w:r w:rsidRPr="006D23D9">
        <w:rPr>
          <w:rFonts w:ascii="Arial" w:hAnsi="Arial" w:cs="Arial"/>
          <w:sz w:val="20"/>
          <w:szCs w:val="20"/>
        </w:rPr>
        <w:t xml:space="preserve">This Resolution has been passed by the </w:t>
      </w:r>
      <w:r w:rsidR="0044222D">
        <w:rPr>
          <w:rFonts w:ascii="Arial" w:hAnsi="Arial" w:cs="Arial"/>
          <w:sz w:val="20"/>
          <w:szCs w:val="20"/>
        </w:rPr>
        <w:t>members of Board of Directors.</w:t>
      </w:r>
      <w:r w:rsidRPr="006D23D9">
        <w:rPr>
          <w:rFonts w:ascii="Arial" w:hAnsi="Arial" w:cs="Arial"/>
          <w:sz w:val="20"/>
          <w:szCs w:val="20"/>
        </w:rPr>
        <w:t xml:space="preserve"> The Board of Directors assigned the Company Director to implement and report to the Board of</w:t>
      </w:r>
      <w:r w:rsidR="0044222D">
        <w:rPr>
          <w:rFonts w:ascii="Arial" w:hAnsi="Arial" w:cs="Arial"/>
          <w:sz w:val="20"/>
          <w:szCs w:val="20"/>
        </w:rPr>
        <w:t xml:space="preserve"> Directors at the next Meeting</w:t>
      </w:r>
    </w:p>
    <w:sectPr w:rsidR="006D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4222D"/>
    <w:rsid w:val="00467BC0"/>
    <w:rsid w:val="00496733"/>
    <w:rsid w:val="004B2BA6"/>
    <w:rsid w:val="00503DD6"/>
    <w:rsid w:val="0058434E"/>
    <w:rsid w:val="005B40E5"/>
    <w:rsid w:val="006D23D9"/>
    <w:rsid w:val="006E15A6"/>
    <w:rsid w:val="00745D9A"/>
    <w:rsid w:val="007A1FCC"/>
    <w:rsid w:val="007B67AF"/>
    <w:rsid w:val="008134FC"/>
    <w:rsid w:val="0084485C"/>
    <w:rsid w:val="00853748"/>
    <w:rsid w:val="008544C2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46</cp:revision>
  <dcterms:created xsi:type="dcterms:W3CDTF">2019-10-16T10:03:00Z</dcterms:created>
  <dcterms:modified xsi:type="dcterms:W3CDTF">2020-03-19T07:55:00Z</dcterms:modified>
</cp:coreProperties>
</file>